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81830F4" w:rsidR="003676DA" w:rsidRPr="00B84C23" w:rsidRDefault="00B84C2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84C23">
                              <w:rPr>
                                <w:rFonts w:ascii="Arial" w:hAnsi="Arial" w:cs="Arial"/>
                                <w:b/>
                                <w:color w:val="000000" w:themeColor="text1"/>
                              </w:rPr>
                              <w:t>USFS - Sequoia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81830F4" w:rsidR="003676DA" w:rsidRPr="00B84C23" w:rsidRDefault="00B84C2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84C23">
                        <w:rPr>
                          <w:rFonts w:ascii="Arial" w:hAnsi="Arial" w:cs="Arial"/>
                          <w:b/>
                          <w:color w:val="000000" w:themeColor="text1"/>
                        </w:rPr>
                        <w:t>USFS - Sequoia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5D7D28C" w14:textId="77777777" w:rsidR="00737E6F" w:rsidRPr="00737E6F" w:rsidRDefault="00737E6F" w:rsidP="00737E6F">
      <w:pPr>
        <w:pStyle w:val="ListParagraph"/>
        <w:numPr>
          <w:ilvl w:val="0"/>
          <w:numId w:val="1"/>
        </w:numPr>
        <w:spacing w:line="259" w:lineRule="auto"/>
        <w:rPr>
          <w:rFonts w:ascii="Arial" w:hAnsi="Arial" w:cs="Arial"/>
          <w:sz w:val="22"/>
          <w:szCs w:val="22"/>
        </w:rPr>
      </w:pPr>
      <w:r w:rsidRPr="00737E6F">
        <w:rPr>
          <w:rFonts w:ascii="Arial" w:hAnsi="Arial" w:cs="Arial"/>
          <w:sz w:val="22"/>
          <w:szCs w:val="22"/>
        </w:rPr>
        <w:t>#1c – Applicant must provide names and dates of the reference documents.</w:t>
      </w:r>
    </w:p>
    <w:p w14:paraId="33B52405" w14:textId="77777777" w:rsidR="00737E6F" w:rsidRPr="00737E6F" w:rsidRDefault="00737E6F" w:rsidP="00737E6F">
      <w:pPr>
        <w:pStyle w:val="ListParagraph"/>
        <w:numPr>
          <w:ilvl w:val="0"/>
          <w:numId w:val="1"/>
        </w:numPr>
        <w:spacing w:line="259" w:lineRule="auto"/>
        <w:rPr>
          <w:rFonts w:ascii="Arial" w:hAnsi="Arial" w:cs="Arial"/>
          <w:sz w:val="22"/>
          <w:szCs w:val="22"/>
        </w:rPr>
      </w:pPr>
      <w:r w:rsidRPr="00737E6F">
        <w:rPr>
          <w:rFonts w:ascii="Arial" w:hAnsi="Arial" w:cs="Arial"/>
          <w:sz w:val="22"/>
          <w:szCs w:val="22"/>
        </w:rPr>
        <w:t>#2 – 5 – Applicant must verify responses by final submission.</w:t>
      </w:r>
    </w:p>
    <w:p w14:paraId="4733A184" w14:textId="77777777" w:rsidR="00737E6F" w:rsidRPr="00737E6F" w:rsidRDefault="00737E6F" w:rsidP="00737E6F">
      <w:pPr>
        <w:pStyle w:val="ListParagraph"/>
        <w:numPr>
          <w:ilvl w:val="0"/>
          <w:numId w:val="1"/>
        </w:numPr>
        <w:spacing w:after="160" w:line="259" w:lineRule="auto"/>
        <w:rPr>
          <w:rFonts w:ascii="Arial" w:hAnsi="Arial" w:cs="Arial"/>
          <w:sz w:val="22"/>
          <w:szCs w:val="22"/>
        </w:rPr>
      </w:pPr>
      <w:r w:rsidRPr="00737E6F">
        <w:rPr>
          <w:rFonts w:ascii="Arial" w:hAnsi="Arial" w:cs="Arial"/>
          <w:sz w:val="22"/>
          <w:szCs w:val="22"/>
        </w:rPr>
        <w:t>#7b – Narrative does not support the selection.  Applicant must clarify the frequency of patrols, the “percentage” of OHV opportunities covered by patrols, and patrol personnel taking into consideration what staff is authorized to write citations.</w:t>
      </w:r>
    </w:p>
    <w:p w14:paraId="22C82CA8" w14:textId="77777777" w:rsidR="00737E6F" w:rsidRPr="00737E6F" w:rsidRDefault="00737E6F" w:rsidP="00737E6F">
      <w:pPr>
        <w:pStyle w:val="ListParagraph"/>
        <w:numPr>
          <w:ilvl w:val="0"/>
          <w:numId w:val="1"/>
        </w:numPr>
        <w:spacing w:after="160" w:line="259" w:lineRule="auto"/>
        <w:rPr>
          <w:rFonts w:ascii="Arial" w:hAnsi="Arial" w:cs="Arial"/>
          <w:sz w:val="22"/>
          <w:szCs w:val="22"/>
        </w:rPr>
      </w:pPr>
      <w:r w:rsidRPr="00737E6F">
        <w:rPr>
          <w:rFonts w:ascii="Arial" w:hAnsi="Arial" w:cs="Arial"/>
          <w:sz w:val="22"/>
          <w:szCs w:val="22"/>
        </w:rPr>
        <w:t>#8b – Narrative does not support the selection. Applicant must provide a detailed explanation of their “management information system(s)” managed by “qualified environmental staff” that identifies and monitors the impacts of OHV activity and contains at least the six items listed. This includes stating briefly how the six items are accomplished.</w:t>
      </w:r>
    </w:p>
    <w:p w14:paraId="7465EB7D" w14:textId="77777777" w:rsidR="00737E6F" w:rsidRPr="00737E6F" w:rsidRDefault="00737E6F" w:rsidP="00737E6F">
      <w:pPr>
        <w:pStyle w:val="ListParagraph"/>
        <w:numPr>
          <w:ilvl w:val="0"/>
          <w:numId w:val="1"/>
        </w:numPr>
        <w:spacing w:line="259" w:lineRule="auto"/>
        <w:rPr>
          <w:rFonts w:ascii="Arial" w:hAnsi="Arial" w:cs="Arial"/>
          <w:sz w:val="22"/>
          <w:szCs w:val="22"/>
        </w:rPr>
      </w:pPr>
      <w:r w:rsidRPr="00737E6F">
        <w:rPr>
          <w:rFonts w:ascii="Arial" w:hAnsi="Arial" w:cs="Arial"/>
          <w:sz w:val="22"/>
          <w:szCs w:val="22"/>
        </w:rPr>
        <w:t>#9a – Applicant must further explain its "systematic methodology" for evaluating soil conditions of its OHV Opportunities</w:t>
      </w:r>
    </w:p>
    <w:p w14:paraId="05081F0A" w14:textId="77777777" w:rsidR="00737E6F" w:rsidRPr="00737E6F" w:rsidRDefault="00737E6F" w:rsidP="00737E6F">
      <w:pPr>
        <w:pStyle w:val="ListParagraph"/>
        <w:numPr>
          <w:ilvl w:val="0"/>
          <w:numId w:val="1"/>
        </w:numPr>
        <w:spacing w:line="259" w:lineRule="auto"/>
        <w:rPr>
          <w:rFonts w:ascii="Arial" w:hAnsi="Arial" w:cs="Arial"/>
          <w:sz w:val="22"/>
          <w:szCs w:val="22"/>
        </w:rPr>
      </w:pPr>
      <w:r w:rsidRPr="00737E6F">
        <w:rPr>
          <w:rFonts w:ascii="Arial" w:hAnsi="Arial" w:cs="Arial"/>
          <w:sz w:val="22"/>
          <w:szCs w:val="22"/>
        </w:rPr>
        <w:lastRenderedPageBreak/>
        <w:t>#9b – Narrative does not support the selection. Applicant must provide details of its actual methods to address soil issues. Do not refer the reviewer to attachments.</w:t>
      </w:r>
    </w:p>
    <w:p w14:paraId="239B633B" w14:textId="77777777" w:rsidR="00737E6F" w:rsidRPr="00737E6F" w:rsidRDefault="00737E6F" w:rsidP="00737E6F">
      <w:pPr>
        <w:pStyle w:val="ListParagraph"/>
        <w:numPr>
          <w:ilvl w:val="0"/>
          <w:numId w:val="1"/>
        </w:numPr>
        <w:spacing w:line="259" w:lineRule="auto"/>
        <w:rPr>
          <w:rFonts w:ascii="Arial" w:hAnsi="Arial" w:cs="Arial"/>
          <w:sz w:val="22"/>
          <w:szCs w:val="22"/>
        </w:rPr>
      </w:pPr>
      <w:r w:rsidRPr="00737E6F">
        <w:rPr>
          <w:rFonts w:ascii="Arial" w:hAnsi="Arial" w:cs="Arial"/>
          <w:sz w:val="22"/>
          <w:szCs w:val="22"/>
        </w:rPr>
        <w:t xml:space="preserve">#10 – Applicant must provide additional details to substantiate the selection for the frequency of sound testing, as the question asks for 50% or more of holidays </w:t>
      </w:r>
      <w:r w:rsidRPr="00737E6F">
        <w:rPr>
          <w:rFonts w:ascii="Arial" w:hAnsi="Arial" w:cs="Arial"/>
          <w:i/>
          <w:iCs/>
          <w:sz w:val="22"/>
          <w:szCs w:val="22"/>
        </w:rPr>
        <w:t xml:space="preserve">and </w:t>
      </w:r>
      <w:r w:rsidRPr="00737E6F">
        <w:rPr>
          <w:rFonts w:ascii="Arial" w:hAnsi="Arial" w:cs="Arial"/>
          <w:sz w:val="22"/>
          <w:szCs w:val="22"/>
        </w:rPr>
        <w:t>weekends.</w:t>
      </w:r>
    </w:p>
    <w:p w14:paraId="78FDD6BA" w14:textId="7E48CFA1" w:rsidR="00E8133C" w:rsidRPr="00737E6F" w:rsidRDefault="00737E6F" w:rsidP="00737E6F">
      <w:pPr>
        <w:pStyle w:val="ListParagraph"/>
        <w:numPr>
          <w:ilvl w:val="0"/>
          <w:numId w:val="1"/>
        </w:numPr>
        <w:spacing w:line="259" w:lineRule="auto"/>
        <w:rPr>
          <w:rFonts w:ascii="Arial" w:hAnsi="Arial" w:cs="Arial"/>
          <w:sz w:val="22"/>
          <w:szCs w:val="22"/>
        </w:rPr>
      </w:pPr>
      <w:r w:rsidRPr="00737E6F">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213081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B84C23" w:rsidRPr="00B84C23">
                              <w:rPr>
                                <w:rFonts w:ascii="Arial" w:hAnsi="Arial" w:cs="Arial"/>
                                <w:b/>
                                <w:color w:val="000000" w:themeColor="text1"/>
                                <w:sz w:val="26"/>
                                <w:szCs w:val="26"/>
                              </w:rPr>
                              <w:t>G21-02-15-G01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2213081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B84C23" w:rsidRPr="00B84C23">
                        <w:rPr>
                          <w:rFonts w:ascii="Arial" w:hAnsi="Arial" w:cs="Arial"/>
                          <w:b/>
                          <w:color w:val="000000" w:themeColor="text1"/>
                          <w:sz w:val="26"/>
                          <w:szCs w:val="26"/>
                        </w:rPr>
                        <w:t>G21-02-15-G01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1BCC19B" w:rsidR="00687C41" w:rsidRDefault="00737E6F"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CE80EA3" w:rsidR="00183D61" w:rsidRDefault="00737E6F"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2260340A" w:rsidR="00712330" w:rsidRDefault="00737E6F"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4564C80" w:rsidR="008C53F4" w:rsidRDefault="00737E6F"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3BDC8DF4"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Staff #3 “HL Rec Tech” – Costs significantly increased compared to prior year’s Application. Applicant must provide additional details to justify the costs.</w:t>
      </w:r>
    </w:p>
    <w:p w14:paraId="173EAC53"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Staff #11 “KR-OHV Visitor Services” – </w:t>
      </w:r>
      <w:r w:rsidRPr="00737E6F">
        <w:rPr>
          <w:rFonts w:ascii="Arial" w:hAnsi="Arial" w:cs="Arial"/>
          <w:sz w:val="22"/>
          <w:szCs w:val="22"/>
        </w:rPr>
        <w:t>Applicant must provide the methodology for how they determined hours of this position’s work time on an average business day is allocated to handle OHV related inquires.</w:t>
      </w:r>
    </w:p>
    <w:p w14:paraId="5A65A818"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Staff #16 “KR GS-5 Perm. Trail Crew” – Costs significantly increased compared to prior year’s Application. Applicant must provide additional details to justify the costs. </w:t>
      </w:r>
    </w:p>
    <w:p w14:paraId="08EE868D"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Staff #27 “KR Overtime for OHV Trail Crews” – Costs significantly increased compared to prior year’s Application. Applicant must provide additional details to justify the costs. </w:t>
      </w:r>
    </w:p>
    <w:p w14:paraId="41AC7CEE"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Staff #34 “WD Hydrologist” – Costs significantly increased compared to prior year’s Application. Applicant must provide additional details to justify the costs. </w:t>
      </w:r>
    </w:p>
    <w:p w14:paraId="114188A9"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Staff #35 “WD Archeologist” – Costs significantly increased compared to prior year’s Application. Applicant must provide additional details to justify the costs. </w:t>
      </w:r>
    </w:p>
    <w:p w14:paraId="1A2478D7"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Contracts #3 “KR Syrus Cyn Water Tender” – Costs significantly increased compared to prior year’s Application. Applicant must provide additional details to justify the costs. </w:t>
      </w:r>
    </w:p>
    <w:p w14:paraId="043C817D"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#1 “HL Miscellaneous” – Straps for OHVs and tow straps are indirect items. Applicant must move to the Indirect cost category. </w:t>
      </w:r>
    </w:p>
    <w:p w14:paraId="2040406D"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lastRenderedPageBreak/>
        <w:t xml:space="preserve">Materials/Supplies #3 “HL OHV Information Boards” – Costs significantly increased compared to prior year’s Application. Applicant must provide additional details to justify the costs. </w:t>
      </w:r>
    </w:p>
    <w:p w14:paraId="5BF448EC"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#4 “HL Stickers/Decals/Travel Signs” – Costs increased more than 15% compared to prior year’s Application. Applicant must provide additional details to justify the costs.   </w:t>
      </w:r>
    </w:p>
    <w:p w14:paraId="459E6FD5"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#5 “HL Volunteers” – Costs significantly increased compared to prior year’s Application. Applicant must provide additional details to justify the costs. </w:t>
      </w:r>
    </w:p>
    <w:p w14:paraId="6A352002"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#6 “HL Power Equipment” – Costs significantly increased compared to prior year’s Application. Applicant must provide additional details to justify the costs.  </w:t>
      </w:r>
    </w:p>
    <w:p w14:paraId="1319E092"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Materials/Supplies #7“HL OHV Riding Equipment” – Daypacks are indirect. Applicant must move to the Indirect cost category and adjust line item accordingly.</w:t>
      </w:r>
    </w:p>
    <w:p w14:paraId="62C8ED78"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#15 “KR Yurt Supplies” – Costs increased more than prior year’s Application. Applicant must provide additional details to justify the costs.  </w:t>
      </w:r>
    </w:p>
    <w:p w14:paraId="514B09C8"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Materials/Supplies #19 “KR Crew Backpacks” – Backpacks are indirect. Applicant must move to the Indirect cost category and adjust line item accordingly.</w:t>
      </w:r>
    </w:p>
    <w:p w14:paraId="46C31ACB"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#20 “WD Decal” – Costs increased more than prior year’s Application. Applicant must provide additional details to justify the costs.  </w:t>
      </w:r>
    </w:p>
    <w:p w14:paraId="45E7AF1E"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#22 “WD Rebar…” – Applicant must further define what “barriers” mean as most barriers are considered a Restoration Project item. </w:t>
      </w:r>
    </w:p>
    <w:p w14:paraId="6435F5C7"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Mat/supplies...#24 – Long sleeve shirts are considered indirect. Applicant must move the item and costs associated to the Indirect category.</w:t>
      </w:r>
    </w:p>
    <w:p w14:paraId="0522B202"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Materials/Supplies #26 “Forest wide Two In-ground fee tubes” – Line item is indirect. Applicant must move the line item to the Indirect category. </w:t>
      </w:r>
    </w:p>
    <w:p w14:paraId="1F139A9F"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Equipment Use Expenses All line items with use rate – Applicant must revise all line items to use the Forest Use rate and not a rental rate from an outside company unless the Applicant is renting equipment. Use rate may never exceed actual cost. </w:t>
      </w:r>
    </w:p>
    <w:p w14:paraId="4E1F7976"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Equipment…#2 – Applicant must identify if HL OHV was purchased through the Grants program. if so, only vehicles purchase through the Grant program are eligible for a use fee. </w:t>
      </w:r>
    </w:p>
    <w:p w14:paraId="28838A72"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Equipment Use Expense #3 “HL 16ft Equipment Trailer Use Fee” – Per regulation this item is not eligible for a use fee as a trailer is not motorized. </w:t>
      </w:r>
    </w:p>
    <w:p w14:paraId="59630470"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 xml:space="preserve">Equipment Use Expense #4 and 5 – Applicant must provide additional details for this line item to further define what a holdover/rental is. </w:t>
      </w:r>
    </w:p>
    <w:p w14:paraId="46AE3266"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sz w:val="22"/>
          <w:szCs w:val="22"/>
        </w:rPr>
        <w:t xml:space="preserve">Equipment Use Expenses #7, 9, 10, 11, 48 – Applicant must clarify if equipment was acquired within the Grants Program. If not, line item is ineligible and must be removed. Per Program regulations, only Equipment purchased within the Grants program are eligible for maintenance and repairs.  </w:t>
      </w:r>
    </w:p>
    <w:p w14:paraId="23D05A9C"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sz w:val="22"/>
          <w:szCs w:val="22"/>
        </w:rPr>
        <w:t xml:space="preserve"> Equipment Use Expense #12 and 45 – Applicant must clarify if equipment was acquired within the Grants program. If not, only the fuel portion of the line item is eligible, the oil and associated costs must be removed. Per Program regulations, only Equipment purchased within the Grants program are eligible for maintenance and repairs.  </w:t>
      </w:r>
    </w:p>
    <w:p w14:paraId="0B30C733"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sz w:val="22"/>
          <w:szCs w:val="22"/>
        </w:rPr>
        <w:t xml:space="preserve">Equipment Purchase #1 “HL Utility Terrain Vehicle” – Cost is excessive to like projects. Applicant must justify the excessive cost. </w:t>
      </w:r>
    </w:p>
    <w:p w14:paraId="6956AFAA"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sz w:val="22"/>
          <w:szCs w:val="22"/>
        </w:rPr>
        <w:t xml:space="preserve">Other(s) #1 “UTV Accessories” – Applicant must revise notes to reflect what will be purchased as well as provide methodology for how the cost was determined. </w:t>
      </w:r>
    </w:p>
    <w:p w14:paraId="3D9DF92E"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color w:val="000000" w:themeColor="text1"/>
          <w:sz w:val="22"/>
          <w:szCs w:val="22"/>
        </w:rPr>
        <w:t>Other(s) #5 “KR Mini Excavator Tracks” – Applicant must explain the need for this line item when three sets were purchased in previous year’s Application.</w:t>
      </w:r>
    </w:p>
    <w:p w14:paraId="706D2D2E" w14:textId="77777777" w:rsidR="00737E6F" w:rsidRPr="00737E6F" w:rsidRDefault="00737E6F" w:rsidP="00737E6F">
      <w:pPr>
        <w:numPr>
          <w:ilvl w:val="0"/>
          <w:numId w:val="7"/>
        </w:numPr>
        <w:contextualSpacing/>
        <w:rPr>
          <w:rFonts w:ascii="Arial" w:hAnsi="Arial" w:cs="Arial"/>
          <w:color w:val="000000" w:themeColor="text1"/>
          <w:sz w:val="22"/>
          <w:szCs w:val="22"/>
        </w:rPr>
      </w:pPr>
      <w:r w:rsidRPr="00737E6F">
        <w:rPr>
          <w:rFonts w:ascii="Arial" w:hAnsi="Arial" w:cs="Arial"/>
          <w:sz w:val="22"/>
          <w:szCs w:val="22"/>
        </w:rPr>
        <w:lastRenderedPageBreak/>
        <w:t>Other(s) #7 “UTV side by Side Accessory” – Applicant must revise notes to reflect what will be purchased as well as provide methodology for how the cost was determined.</w:t>
      </w:r>
    </w:p>
    <w:p w14:paraId="4F9660F1" w14:textId="24F043D1" w:rsidR="008616EC" w:rsidRPr="00737E6F" w:rsidRDefault="00737E6F" w:rsidP="00737E6F">
      <w:pPr>
        <w:numPr>
          <w:ilvl w:val="0"/>
          <w:numId w:val="7"/>
        </w:numPr>
        <w:contextualSpacing/>
        <w:rPr>
          <w:rFonts w:ascii="Arial" w:hAnsi="Arial" w:cs="Arial"/>
          <w:color w:val="000000" w:themeColor="text1"/>
        </w:rPr>
      </w:pPr>
      <w:r w:rsidRPr="00737E6F">
        <w:rPr>
          <w:rFonts w:ascii="Arial" w:hAnsi="Arial" w:cs="Arial"/>
          <w:color w:val="000000" w:themeColor="text1"/>
          <w:sz w:val="22"/>
          <w:szCs w:val="22"/>
        </w:rPr>
        <w:t xml:space="preserve">Indirect #5 “HL Uniforms” – Applicant must explain how the riding equipment here is different from the riding equipment under Materials/Supplies #7.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9771C4F" w14:textId="77777777" w:rsidR="00737E6F" w:rsidRPr="00737E6F" w:rsidRDefault="00737E6F" w:rsidP="00737E6F">
      <w:pPr>
        <w:numPr>
          <w:ilvl w:val="0"/>
          <w:numId w:val="4"/>
        </w:numPr>
        <w:spacing w:after="160" w:line="259" w:lineRule="auto"/>
        <w:contextualSpacing/>
        <w:rPr>
          <w:rFonts w:ascii="Arial" w:hAnsi="Arial" w:cs="Arial"/>
          <w:sz w:val="28"/>
          <w:szCs w:val="20"/>
        </w:rPr>
      </w:pPr>
      <w:r w:rsidRPr="00737E6F">
        <w:rPr>
          <w:rFonts w:ascii="Arial" w:hAnsi="Arial" w:cs="Arial"/>
          <w:sz w:val="22"/>
          <w:szCs w:val="20"/>
        </w:rPr>
        <w:t xml:space="preserve">#3 – Narrative does not support the selection of “Maintaining trails that provide for multi-use”, “Maintaining trail or road tread for single use” and “Providing varied levels of riding”.   </w:t>
      </w:r>
      <w:r w:rsidRPr="00737E6F">
        <w:rPr>
          <w:rFonts w:ascii="Arial" w:hAnsi="Arial" w:cs="Arial"/>
          <w:color w:val="000000" w:themeColor="text1"/>
          <w:sz w:val="22"/>
          <w:szCs w:val="20"/>
        </w:rPr>
        <w:t xml:space="preserve">Applicant must provide </w:t>
      </w:r>
      <w:r w:rsidRPr="00737E6F">
        <w:rPr>
          <w:rFonts w:ascii="Arial" w:hAnsi="Arial" w:cs="Arial"/>
          <w:sz w:val="22"/>
          <w:szCs w:val="20"/>
        </w:rPr>
        <w:t xml:space="preserve">examples of the activities performed </w:t>
      </w:r>
      <w:r w:rsidRPr="00737E6F">
        <w:rPr>
          <w:rFonts w:ascii="Arial" w:hAnsi="Arial" w:cs="Arial"/>
          <w:color w:val="000000" w:themeColor="text1"/>
          <w:sz w:val="22"/>
          <w:szCs w:val="20"/>
        </w:rPr>
        <w:t>to support the selection.</w:t>
      </w:r>
      <w:r w:rsidRPr="00737E6F">
        <w:rPr>
          <w:rFonts w:ascii="Arial" w:hAnsi="Arial" w:cs="Arial"/>
          <w:sz w:val="22"/>
          <w:szCs w:val="20"/>
        </w:rPr>
        <w:t xml:space="preserve">  </w:t>
      </w:r>
    </w:p>
    <w:p w14:paraId="2985E17C" w14:textId="77777777" w:rsidR="00737E6F" w:rsidRPr="00737E6F" w:rsidRDefault="00737E6F" w:rsidP="00737E6F">
      <w:pPr>
        <w:numPr>
          <w:ilvl w:val="0"/>
          <w:numId w:val="4"/>
        </w:numPr>
        <w:spacing w:after="160" w:line="259" w:lineRule="auto"/>
        <w:contextualSpacing/>
        <w:rPr>
          <w:rFonts w:asciiTheme="minorHAnsi" w:eastAsiaTheme="minorHAnsi" w:hAnsiTheme="minorHAnsi" w:cstheme="minorBidi"/>
          <w:sz w:val="22"/>
          <w:szCs w:val="22"/>
        </w:rPr>
      </w:pPr>
      <w:r w:rsidRPr="00737E6F">
        <w:rPr>
          <w:rFonts w:ascii="Arial" w:hAnsi="Arial" w:cs="Arial"/>
          <w:color w:val="000000" w:themeColor="text1"/>
          <w:sz w:val="22"/>
          <w:szCs w:val="22"/>
        </w:rPr>
        <w:t xml:space="preserve">#4 – Narrative does not support the selection of “The Applicant initiated and conducted publicly noticed…”.  </w:t>
      </w:r>
      <w:r w:rsidRPr="00737E6F">
        <w:rPr>
          <w:rFonts w:ascii="Arial" w:hAnsi="Arial" w:cs="Arial"/>
          <w:sz w:val="22"/>
          <w:szCs w:val="22"/>
        </w:rPr>
        <w:t>Applicant must state what virtual meeting format was used</w:t>
      </w:r>
      <w:r w:rsidRPr="00737E6F">
        <w:rPr>
          <w:rFonts w:ascii="Arial" w:hAnsi="Arial" w:cs="Arial"/>
          <w:color w:val="000000" w:themeColor="text1"/>
          <w:sz w:val="22"/>
          <w:szCs w:val="22"/>
        </w:rPr>
        <w:t xml:space="preserve">.  </w:t>
      </w:r>
    </w:p>
    <w:p w14:paraId="10282346" w14:textId="77777777" w:rsidR="00737E6F" w:rsidRPr="00737E6F" w:rsidRDefault="00737E6F" w:rsidP="00737E6F">
      <w:pPr>
        <w:numPr>
          <w:ilvl w:val="0"/>
          <w:numId w:val="10"/>
        </w:numPr>
        <w:spacing w:after="160" w:line="259" w:lineRule="auto"/>
        <w:contextualSpacing/>
        <w:rPr>
          <w:rFonts w:ascii="Arial" w:hAnsi="Arial" w:cs="Arial"/>
          <w:sz w:val="22"/>
          <w:szCs w:val="22"/>
        </w:rPr>
      </w:pPr>
      <w:r w:rsidRPr="00737E6F">
        <w:rPr>
          <w:rFonts w:ascii="Arial" w:hAnsi="Arial" w:cs="Arial"/>
          <w:color w:val="000000" w:themeColor="text1"/>
          <w:sz w:val="22"/>
          <w:szCs w:val="22"/>
        </w:rPr>
        <w:t xml:space="preserve">#6 – </w:t>
      </w:r>
      <w:r w:rsidRPr="00737E6F">
        <w:rPr>
          <w:rFonts w:ascii="Arial" w:hAnsi="Arial" w:cs="Arial"/>
          <w:sz w:val="22"/>
          <w:szCs w:val="22"/>
        </w:rPr>
        <w:t>Narrative does not support the selection of “Controlling OHV use”. Applicant must provide examples of the activities performed in the Project that support the selection.</w:t>
      </w:r>
    </w:p>
    <w:p w14:paraId="6EDDE402" w14:textId="77777777" w:rsidR="00737E6F" w:rsidRPr="00737E6F" w:rsidRDefault="00737E6F" w:rsidP="00737E6F">
      <w:pPr>
        <w:numPr>
          <w:ilvl w:val="0"/>
          <w:numId w:val="10"/>
        </w:numPr>
        <w:spacing w:after="160" w:line="259" w:lineRule="auto"/>
        <w:contextualSpacing/>
        <w:rPr>
          <w:rFonts w:ascii="Arial" w:hAnsi="Arial" w:cs="Arial"/>
          <w:sz w:val="22"/>
          <w:szCs w:val="22"/>
        </w:rPr>
      </w:pPr>
      <w:r w:rsidRPr="00737E6F">
        <w:rPr>
          <w:rFonts w:ascii="Arial" w:hAnsi="Arial" w:cs="Arial"/>
          <w:sz w:val="22"/>
          <w:szCs w:val="22"/>
        </w:rPr>
        <w:t>#7 – Project Description and/or Project Cost Estimate sections do not support any selection except “signs, sign posts or education kiosk…” are made with recycled materials.</w:t>
      </w:r>
    </w:p>
    <w:p w14:paraId="518107AD" w14:textId="77777777" w:rsidR="00737E6F" w:rsidRPr="00737E6F" w:rsidRDefault="00737E6F" w:rsidP="00737E6F">
      <w:pPr>
        <w:numPr>
          <w:ilvl w:val="0"/>
          <w:numId w:val="10"/>
        </w:numPr>
        <w:spacing w:after="160" w:line="259" w:lineRule="auto"/>
        <w:contextualSpacing/>
        <w:rPr>
          <w:rFonts w:ascii="Arial" w:hAnsi="Arial" w:cs="Arial"/>
          <w:sz w:val="22"/>
          <w:szCs w:val="22"/>
        </w:rPr>
      </w:pPr>
      <w:r w:rsidRPr="00737E6F">
        <w:rPr>
          <w:rFonts w:ascii="Arial" w:hAnsi="Arial"/>
          <w:szCs w:val="22"/>
        </w:rPr>
        <w:t xml:space="preserve"> </w:t>
      </w:r>
      <w:r w:rsidRPr="00737E6F">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USFS – Sequoia National Forest but does not clearly state if those opportunities are accessed by motorized use </w:t>
      </w:r>
      <w:r w:rsidRPr="00EF7DCD">
        <w:rPr>
          <w:rFonts w:ascii="Arial" w:hAnsi="Arial" w:cs="Arial"/>
          <w:sz w:val="22"/>
          <w:szCs w:val="22"/>
        </w:rPr>
        <w:t>within the Project area of this Application.</w:t>
      </w:r>
      <w:r w:rsidRPr="00737E6F">
        <w:rPr>
          <w:rFonts w:ascii="Arial" w:hAnsi="Arial" w:cs="Arial"/>
          <w:sz w:val="22"/>
          <w:szCs w:val="22"/>
          <w:u w:val="single"/>
        </w:rPr>
        <w:t xml:space="preserve">  </w:t>
      </w:r>
    </w:p>
    <w:p w14:paraId="50C80A1A" w14:textId="3B850D56" w:rsidR="00F04D40" w:rsidRPr="00A72250" w:rsidRDefault="00F04D40" w:rsidP="00737E6F">
      <w:pPr>
        <w:ind w:left="72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275EA0AB" w:rsidR="008616EC" w:rsidRDefault="008616EC" w:rsidP="001E1516">
      <w:pPr>
        <w:tabs>
          <w:tab w:val="num" w:pos="720"/>
        </w:tabs>
        <w:contextualSpacing/>
        <w:rPr>
          <w:rFonts w:ascii="Arial" w:hAnsi="Arial" w:cs="Arial"/>
          <w:sz w:val="22"/>
          <w:szCs w:val="22"/>
        </w:rPr>
      </w:pPr>
    </w:p>
    <w:sectPr w:rsidR="008616E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08D73" w14:textId="77777777" w:rsidR="00B55E15" w:rsidRDefault="00B55E15" w:rsidP="0073175F">
      <w:r>
        <w:separator/>
      </w:r>
    </w:p>
  </w:endnote>
  <w:endnote w:type="continuationSeparator" w:id="0">
    <w:p w14:paraId="22AA23C2" w14:textId="77777777" w:rsidR="00B55E15" w:rsidRDefault="00B55E1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735DBE97" w:rsidR="008C6F89" w:rsidRPr="008C6F89" w:rsidRDefault="00B84C23">
            <w:pPr>
              <w:pStyle w:val="Footer"/>
              <w:jc w:val="right"/>
              <w:rPr>
                <w:rFonts w:ascii="Arial" w:hAnsi="Arial" w:cs="Arial"/>
              </w:rPr>
            </w:pPr>
            <w:r w:rsidRPr="00B84C23">
              <w:rPr>
                <w:rFonts w:ascii="Arial" w:hAnsi="Arial" w:cs="Arial"/>
              </w:rPr>
              <w:t>USFS - Sequoia National Forest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B42B41">
              <w:rPr>
                <w:rFonts w:ascii="Arial" w:hAnsi="Arial" w:cs="Arial"/>
                <w:b/>
                <w:bCs/>
                <w:noProof/>
              </w:rPr>
              <w:t>4</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B42B41">
              <w:rPr>
                <w:rFonts w:ascii="Arial" w:hAnsi="Arial" w:cs="Arial"/>
                <w:b/>
                <w:bCs/>
                <w:noProof/>
              </w:rPr>
              <w:t>4</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7F07F" w14:textId="77777777" w:rsidR="00B55E15" w:rsidRDefault="00B55E15" w:rsidP="0073175F">
      <w:r>
        <w:separator/>
      </w:r>
    </w:p>
  </w:footnote>
  <w:footnote w:type="continuationSeparator" w:id="0">
    <w:p w14:paraId="7EFC0366" w14:textId="77777777" w:rsidR="00B55E15" w:rsidRDefault="00B55E1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0504B"/>
    <w:multiLevelType w:val="hybridMultilevel"/>
    <w:tmpl w:val="1872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4D72"/>
    <w:multiLevelType w:val="hybridMultilevel"/>
    <w:tmpl w:val="94004CBE"/>
    <w:lvl w:ilvl="0" w:tplc="7E2E0D02">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ddVKXEH9k3De11mmtdX8OZFNhNHBLcYDi6WNJ05R2TgngmVQx4XuhHWhLj+YJ+JIGkRM27o65VljHFnniwDvBA==" w:salt="oZJztcFxanSB6RpTaXZ3P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34DD9"/>
    <w:rsid w:val="00687C41"/>
    <w:rsid w:val="006D2D2E"/>
    <w:rsid w:val="006F5824"/>
    <w:rsid w:val="00707DAC"/>
    <w:rsid w:val="00712330"/>
    <w:rsid w:val="00721601"/>
    <w:rsid w:val="0073175F"/>
    <w:rsid w:val="00737E6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42B41"/>
    <w:rsid w:val="00B55E15"/>
    <w:rsid w:val="00B71734"/>
    <w:rsid w:val="00B723AA"/>
    <w:rsid w:val="00B75280"/>
    <w:rsid w:val="00B84C23"/>
    <w:rsid w:val="00B87F70"/>
    <w:rsid w:val="00B93326"/>
    <w:rsid w:val="00BE5E19"/>
    <w:rsid w:val="00C03325"/>
    <w:rsid w:val="00C1421F"/>
    <w:rsid w:val="00C6576E"/>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1768"/>
    <w:rsid w:val="00EA4929"/>
    <w:rsid w:val="00EF153C"/>
    <w:rsid w:val="00EF7DCD"/>
    <w:rsid w:val="00F04D40"/>
    <w:rsid w:val="00F30894"/>
    <w:rsid w:val="00F364DA"/>
    <w:rsid w:val="00F7131D"/>
    <w:rsid w:val="00FA6F2F"/>
    <w:rsid w:val="00FB4E68"/>
    <w:rsid w:val="00FB78E1"/>
    <w:rsid w:val="00FC5695"/>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30DC43C-2A51-4AFF-9101-B0A963A943F7}">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purl.org/dc/terms/"/>
    <ds:schemaRef ds:uri="http://schemas.openxmlformats.org/package/2006/metadata/core-properties"/>
    <ds:schemaRef ds:uri="http://schemas.microsoft.com/sharepoint/v3"/>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cc95d3a0-d25b-4b41-94c9-a0e8041500a0"/>
    <ds:schemaRef ds:uri="2149629f-e626-4d15-ba48-18c0f188c2a9"/>
    <ds:schemaRef ds:uri="http://schemas.microsoft.com/office/2006/metadata/properties"/>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1473</Words>
  <Characters>8401</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6</cp:revision>
  <dcterms:created xsi:type="dcterms:W3CDTF">2021-05-05T15:19:00Z</dcterms:created>
  <dcterms:modified xsi:type="dcterms:W3CDTF">2021-05-11T18:54:00Z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